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62924CB5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 w:rsidR="006A4291">
              <w:rPr>
                <w:rFonts w:ascii="Marianne" w:hAnsi="Marianne" w:cs="Arial"/>
                <w:sz w:val="20"/>
                <w:szCs w:val="20"/>
              </w:rPr>
              <w:t xml:space="preserve"> portant notamment sur l’expertise professionnelle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1434859A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Signature du</w:t>
            </w:r>
            <w:r w:rsidR="00EA6DDB">
              <w:rPr>
                <w:rFonts w:ascii="Marianne" w:hAnsi="Marianne" w:cs="Arial"/>
                <w:sz w:val="20"/>
                <w:szCs w:val="20"/>
              </w:rPr>
              <w:t xml:space="preserve"> supérieur hiérarchique direct : 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85215"/>
    <w:rsid w:val="006A4291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A6DDB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5818-4094-4C93-B594-34D3F6E9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Tevahinerere Chaves</cp:lastModifiedBy>
  <cp:revision>20</cp:revision>
  <cp:lastPrinted>2019-11-15T10:49:00Z</cp:lastPrinted>
  <dcterms:created xsi:type="dcterms:W3CDTF">2021-12-27T17:01:00Z</dcterms:created>
  <dcterms:modified xsi:type="dcterms:W3CDTF">2024-12-12T00:39:00Z</dcterms:modified>
</cp:coreProperties>
</file>